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39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/>
      </w:tblPr>
      <w:tblGrid>
        <w:gridCol w:w="2790"/>
        <w:gridCol w:w="6840"/>
      </w:tblGrid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sz w:val="22"/>
                <w:szCs w:val="22"/>
              </w:rPr>
            </w:pPr>
            <w:r w:rsidRPr="00897F32">
              <w:rPr>
                <w:b/>
                <w:sz w:val="22"/>
                <w:szCs w:val="22"/>
              </w:rPr>
              <w:t>Chart IV:  Foundations for High-Quality Adolescent Education Programming (Grades 9-12)</w:t>
            </w:r>
          </w:p>
          <w:p w:rsidR="00DE548C" w:rsidRPr="00897F32" w:rsidRDefault="00DE548C" w:rsidP="00141495">
            <w:pPr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</w:rPr>
            </w:pPr>
            <w:r w:rsidRPr="00897F32">
              <w:rPr>
                <w:b/>
                <w:sz w:val="22"/>
                <w:szCs w:val="22"/>
              </w:rPr>
              <w:t>24 credit required: 18 prescribed and 6 personalized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2"/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sz w:val="22"/>
                <w:szCs w:val="22"/>
              </w:rPr>
            </w:pPr>
            <w:r w:rsidRPr="00897F32">
              <w:rPr>
                <w:sz w:val="22"/>
                <w:szCs w:val="22"/>
              </w:rPr>
              <w:t>Chart IV Adolescent Education Programming (9-10, 11-12) Graduation Requirements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sz w:val="22"/>
                <w:szCs w:val="22"/>
              </w:rPr>
            </w:pPr>
            <w:r w:rsidRPr="00897F32">
              <w:rPr>
                <w:sz w:val="22"/>
                <w:szCs w:val="22"/>
              </w:rPr>
              <w:t>Graduation requirements are effective for all students enrolled in school year 2014-15, and thereafter or as otherwise specified</w:t>
            </w:r>
            <w:r>
              <w:rPr>
                <w:sz w:val="22"/>
                <w:szCs w:val="22"/>
              </w:rPr>
              <w:t xml:space="preserve">.  </w:t>
            </w:r>
            <w:r w:rsidRPr="00897F32">
              <w:rPr>
                <w:sz w:val="22"/>
                <w:szCs w:val="22"/>
              </w:rPr>
              <w:t>Courses needed for graduation require mastery of approved content standards and objectives</w:t>
            </w:r>
            <w:r>
              <w:rPr>
                <w:sz w:val="22"/>
                <w:szCs w:val="22"/>
              </w:rPr>
              <w:t xml:space="preserve">.  </w:t>
            </w:r>
            <w:r w:rsidRPr="00897F32">
              <w:rPr>
                <w:sz w:val="22"/>
                <w:szCs w:val="22"/>
              </w:rPr>
              <w:t xml:space="preserve">Students should consult with their chosen </w:t>
            </w:r>
            <w:r>
              <w:rPr>
                <w:sz w:val="22"/>
                <w:szCs w:val="22"/>
              </w:rPr>
              <w:t>postsecondary</w:t>
            </w:r>
            <w:r w:rsidRPr="00897F32">
              <w:rPr>
                <w:sz w:val="22"/>
                <w:szCs w:val="22"/>
              </w:rPr>
              <w:t xml:space="preserve"> educational program when choosing optional upper-level courses</w:t>
            </w:r>
            <w:r>
              <w:rPr>
                <w:sz w:val="22"/>
                <w:szCs w:val="22"/>
              </w:rPr>
              <w:t xml:space="preserve">.  </w:t>
            </w:r>
            <w:r w:rsidRPr="00897F32">
              <w:rPr>
                <w:sz w:val="22"/>
                <w:szCs w:val="22"/>
              </w:rPr>
              <w:t>Students who do not demonstrate mastery of the approved content standards and objectives shall be provided extra assistance and time through personalized learning and support.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2"/>
            <w:shd w:val="clear" w:color="auto" w:fill="F2F2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Graduation Requirements (18 prescribed)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English Language Arts*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4 credits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English 9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 xml:space="preserve">English 10 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English 11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ind w:left="330" w:hanging="330"/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English 12 or English 12 CR or Transition English Language Arts for Seniors*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ind w:left="330" w:hanging="330"/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An AP® English course may be substituted for any of the above courses.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Mathematics*</w:t>
            </w:r>
          </w:p>
          <w:p w:rsidR="00DE548C" w:rsidRPr="00D1707C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D1707C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4 credits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Math I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Math II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Math III STEM, or Math III LA or Math III TR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ind w:left="330" w:hanging="330"/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Math IV or Math IV TR or Transition Mathematics for Seniors* or any other fourth course option (Chart V)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ind w:left="330" w:hanging="330"/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 xml:space="preserve">An AP® Mathematics course may be substituted for </w:t>
            </w:r>
            <w:r>
              <w:rPr>
                <w:color w:val="000000"/>
                <w:sz w:val="22"/>
                <w:szCs w:val="22"/>
              </w:rPr>
              <w:t xml:space="preserve">an equivalent course or </w:t>
            </w:r>
            <w:r w:rsidRPr="00897F32">
              <w:rPr>
                <w:color w:val="000000"/>
                <w:sz w:val="22"/>
                <w:szCs w:val="22"/>
              </w:rPr>
              <w:t xml:space="preserve">any </w:t>
            </w:r>
            <w:r>
              <w:rPr>
                <w:color w:val="000000"/>
                <w:sz w:val="22"/>
                <w:szCs w:val="22"/>
              </w:rPr>
              <w:t>fourth</w:t>
            </w:r>
            <w:r w:rsidRPr="00897F32">
              <w:rPr>
                <w:color w:val="000000"/>
                <w:sz w:val="22"/>
                <w:szCs w:val="22"/>
              </w:rPr>
              <w:t xml:space="preserve"> course</w:t>
            </w:r>
            <w:r>
              <w:rPr>
                <w:color w:val="000000"/>
                <w:sz w:val="22"/>
                <w:szCs w:val="22"/>
              </w:rPr>
              <w:t xml:space="preserve"> option</w:t>
            </w:r>
            <w:r w:rsidRPr="00897F32">
              <w:rPr>
                <w:color w:val="000000"/>
                <w:sz w:val="22"/>
                <w:szCs w:val="22"/>
              </w:rPr>
              <w:t>.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Science*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3 credits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Physical Science (Grade 9)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Biology or Conceptual Biology or AP® Biology (Grade 10)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One additional lab science course</w:t>
            </w:r>
            <w:r>
              <w:rPr>
                <w:color w:val="000000"/>
                <w:sz w:val="22"/>
                <w:szCs w:val="22"/>
              </w:rPr>
              <w:t xml:space="preserve"> or AP® science course</w:t>
            </w:r>
            <w:r w:rsidRPr="00897F32">
              <w:rPr>
                <w:color w:val="000000"/>
                <w:sz w:val="22"/>
                <w:szCs w:val="22"/>
              </w:rPr>
              <w:t xml:space="preserve"> (Chart V)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Social Studies*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4 credits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sz w:val="22"/>
                <w:szCs w:val="22"/>
              </w:rPr>
              <w:t xml:space="preserve">World Studies (Grade 9) or </w:t>
            </w:r>
            <w:r>
              <w:rPr>
                <w:sz w:val="22"/>
                <w:szCs w:val="22"/>
              </w:rPr>
              <w:t xml:space="preserve">an </w:t>
            </w:r>
            <w:r w:rsidRPr="00897F32">
              <w:rPr>
                <w:color w:val="000000"/>
                <w:sz w:val="22"/>
                <w:szCs w:val="22"/>
              </w:rPr>
              <w:t xml:space="preserve">AP® </w:t>
            </w:r>
            <w:r>
              <w:rPr>
                <w:color w:val="000000"/>
                <w:sz w:val="22"/>
                <w:szCs w:val="22"/>
              </w:rPr>
              <w:t>Social Studies course</w:t>
            </w:r>
          </w:p>
          <w:p w:rsidR="00DE548C" w:rsidRPr="00897F32" w:rsidRDefault="00DE548C" w:rsidP="00141495">
            <w:pPr>
              <w:tabs>
                <w:tab w:val="left" w:pos="270"/>
                <w:tab w:val="left" w:pos="540"/>
                <w:tab w:val="left" w:pos="720"/>
                <w:tab w:val="left" w:pos="990"/>
              </w:tabs>
              <w:ind w:left="330" w:hanging="330"/>
              <w:jc w:val="both"/>
              <w:rPr>
                <w:sz w:val="22"/>
                <w:szCs w:val="22"/>
              </w:rPr>
            </w:pPr>
            <w:r w:rsidRPr="00897F32">
              <w:rPr>
                <w:sz w:val="22"/>
                <w:szCs w:val="22"/>
              </w:rPr>
              <w:t xml:space="preserve">United States Studies (Grade 10) or </w:t>
            </w:r>
            <w:r>
              <w:rPr>
                <w:sz w:val="22"/>
                <w:szCs w:val="22"/>
              </w:rPr>
              <w:t xml:space="preserve">an </w:t>
            </w:r>
            <w:r w:rsidRPr="00897F32">
              <w:rPr>
                <w:color w:val="000000"/>
                <w:sz w:val="22"/>
                <w:szCs w:val="22"/>
              </w:rPr>
              <w:t xml:space="preserve">AP® </w:t>
            </w:r>
            <w:r>
              <w:rPr>
                <w:color w:val="000000"/>
                <w:sz w:val="22"/>
                <w:szCs w:val="22"/>
              </w:rPr>
              <w:t>Social Studies course</w:t>
            </w:r>
          </w:p>
          <w:p w:rsidR="00DE548C" w:rsidRPr="00897F32" w:rsidRDefault="00DE548C" w:rsidP="00141495">
            <w:pPr>
              <w:tabs>
                <w:tab w:val="left" w:pos="270"/>
                <w:tab w:val="left" w:pos="540"/>
                <w:tab w:val="left" w:pos="720"/>
                <w:tab w:val="left" w:pos="990"/>
              </w:tabs>
              <w:ind w:left="330" w:hanging="330"/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sz w:val="22"/>
                <w:szCs w:val="22"/>
              </w:rPr>
              <w:t xml:space="preserve">Contemporary Studies or </w:t>
            </w:r>
            <w:r>
              <w:rPr>
                <w:sz w:val="22"/>
                <w:szCs w:val="22"/>
              </w:rPr>
              <w:t xml:space="preserve">an </w:t>
            </w:r>
            <w:r w:rsidRPr="00897F32">
              <w:rPr>
                <w:color w:val="000000"/>
                <w:sz w:val="22"/>
                <w:szCs w:val="22"/>
              </w:rPr>
              <w:t xml:space="preserve">AP® </w:t>
            </w:r>
            <w:r>
              <w:rPr>
                <w:color w:val="000000"/>
                <w:sz w:val="22"/>
                <w:szCs w:val="22"/>
              </w:rPr>
              <w:t>Social Studies course</w:t>
            </w:r>
          </w:p>
          <w:p w:rsidR="00DE548C" w:rsidRPr="00897F32" w:rsidRDefault="00DE548C" w:rsidP="00141495">
            <w:pPr>
              <w:tabs>
                <w:tab w:val="left" w:pos="270"/>
                <w:tab w:val="left" w:pos="540"/>
                <w:tab w:val="left" w:pos="720"/>
                <w:tab w:val="left" w:pos="990"/>
              </w:tabs>
              <w:ind w:left="330" w:hanging="330"/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Civics for the Next Generation or AP® Government and Politics.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Physical Education*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1 credit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Physical Education 9-12 (WV</w:t>
            </w:r>
            <w:r>
              <w:rPr>
                <w:color w:val="000000"/>
                <w:sz w:val="22"/>
                <w:szCs w:val="22"/>
              </w:rPr>
              <w:t xml:space="preserve"> Education Information System [hereinafter WV</w:t>
            </w:r>
            <w:r w:rsidRPr="00897F32">
              <w:rPr>
                <w:color w:val="000000"/>
                <w:sz w:val="22"/>
                <w:szCs w:val="22"/>
              </w:rPr>
              <w:t>EIS course 6609</w:t>
            </w:r>
            <w:r>
              <w:rPr>
                <w:color w:val="000000"/>
                <w:sz w:val="22"/>
                <w:szCs w:val="22"/>
              </w:rPr>
              <w:t>]</w:t>
            </w:r>
            <w:r w:rsidRPr="00897F32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897F32">
              <w:rPr>
                <w:color w:val="000000"/>
                <w:sz w:val="22"/>
                <w:szCs w:val="22"/>
              </w:rPr>
              <w:t>At least 50 percent of class time for physical education should be spent in moderate to vigorous-intensity physical activity.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Health*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1 credit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Health 9-12 (WVEIS course 6909)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The Arts*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1 credit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Graduation Requirements (6 personalized)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bottom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Personalized Education</w:t>
            </w:r>
            <w:r w:rsidRPr="00897F32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97F32">
              <w:rPr>
                <w:b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6840" w:type="dxa"/>
            <w:tcBorders>
              <w:bottom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4 credits</w:t>
            </w:r>
            <w:r w:rsidRPr="00897F32">
              <w:rPr>
                <w:sz w:val="22"/>
                <w:szCs w:val="22"/>
              </w:rPr>
              <w:t xml:space="preserve"> 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897F32">
              <w:rPr>
                <w:sz w:val="22"/>
                <w:szCs w:val="22"/>
              </w:rPr>
              <w:t>Each student’s PEP will identify course work for the four (4) credits that will lead directly to placement in entry-level, credit-bearing academic college courses, an industry-recognized certificate or license, or workforce training programs</w:t>
            </w:r>
            <w:r>
              <w:rPr>
                <w:sz w:val="22"/>
                <w:szCs w:val="22"/>
              </w:rPr>
              <w:t xml:space="preserve">.  </w:t>
            </w:r>
            <w:r w:rsidRPr="00897F32">
              <w:rPr>
                <w:color w:val="000000"/>
                <w:sz w:val="22"/>
                <w:szCs w:val="22"/>
              </w:rPr>
              <w:t>Best practices encourage students to take at least 1 AP®</w:t>
            </w:r>
            <w:r>
              <w:rPr>
                <w:color w:val="000000"/>
                <w:sz w:val="22"/>
                <w:szCs w:val="22"/>
              </w:rPr>
              <w:t xml:space="preserve"> and/or AC</w:t>
            </w:r>
            <w:r w:rsidRPr="00897F32">
              <w:rPr>
                <w:color w:val="000000"/>
                <w:sz w:val="22"/>
                <w:szCs w:val="22"/>
              </w:rPr>
              <w:t xml:space="preserve"> course with corresponding examination, a fourth Science </w:t>
            </w:r>
            <w:r w:rsidRPr="00897F32">
              <w:rPr>
                <w:color w:val="000000"/>
                <w:sz w:val="22"/>
                <w:szCs w:val="22"/>
              </w:rPr>
              <w:lastRenderedPageBreak/>
              <w:t xml:space="preserve">credit, and 2 credits in one World Language, and/or four credits cumulating in acquisition of industry </w:t>
            </w:r>
            <w:r>
              <w:rPr>
                <w:color w:val="000000"/>
                <w:sz w:val="22"/>
                <w:szCs w:val="22"/>
              </w:rPr>
              <w:t xml:space="preserve">and </w:t>
            </w:r>
            <w:r w:rsidRPr="00897F32">
              <w:rPr>
                <w:color w:val="000000"/>
                <w:sz w:val="22"/>
                <w:szCs w:val="22"/>
              </w:rPr>
              <w:t xml:space="preserve">recognized </w:t>
            </w:r>
            <w:r>
              <w:rPr>
                <w:color w:val="000000"/>
                <w:sz w:val="22"/>
                <w:szCs w:val="22"/>
              </w:rPr>
              <w:t xml:space="preserve">Career and Technical Education (hereinafter </w:t>
            </w:r>
            <w:r w:rsidRPr="00897F32">
              <w:rPr>
                <w:color w:val="000000"/>
                <w:sz w:val="22"/>
                <w:szCs w:val="22"/>
              </w:rPr>
              <w:t>CTE</w:t>
            </w:r>
            <w:r>
              <w:rPr>
                <w:color w:val="000000"/>
                <w:sz w:val="22"/>
                <w:szCs w:val="22"/>
              </w:rPr>
              <w:t>)</w:t>
            </w:r>
            <w:r w:rsidRPr="00897F32">
              <w:rPr>
                <w:color w:val="000000"/>
                <w:sz w:val="22"/>
                <w:szCs w:val="22"/>
              </w:rPr>
              <w:t xml:space="preserve"> credential focused on career aspirations.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sz w:val="22"/>
                <w:szCs w:val="22"/>
              </w:rPr>
            </w:pPr>
            <w:r w:rsidRPr="00897F32">
              <w:rPr>
                <w:b/>
                <w:sz w:val="22"/>
                <w:szCs w:val="22"/>
              </w:rPr>
              <w:lastRenderedPageBreak/>
              <w:t>Wor</w:t>
            </w:r>
            <w:r>
              <w:rPr>
                <w:b/>
                <w:sz w:val="22"/>
                <w:szCs w:val="22"/>
              </w:rPr>
              <w:t>l</w:t>
            </w:r>
            <w:r w:rsidRPr="00897F32">
              <w:rPr>
                <w:b/>
                <w:sz w:val="22"/>
                <w:szCs w:val="22"/>
              </w:rPr>
              <w:t>d Languages</w:t>
            </w:r>
          </w:p>
        </w:tc>
        <w:tc>
          <w:tcPr>
            <w:tcW w:w="6840" w:type="dxa"/>
            <w:tcBorders>
              <w:top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sz w:val="22"/>
                <w:szCs w:val="22"/>
              </w:rPr>
            </w:pPr>
            <w:r w:rsidRPr="00897F32">
              <w:rPr>
                <w:sz w:val="22"/>
                <w:szCs w:val="22"/>
              </w:rPr>
              <w:t>Communicating in a global society requires students to apply appropriate language</w:t>
            </w:r>
            <w:r>
              <w:rPr>
                <w:sz w:val="22"/>
                <w:szCs w:val="22"/>
              </w:rPr>
              <w:t xml:space="preserve"> strategies</w:t>
            </w:r>
            <w:r w:rsidRPr="00897F32">
              <w:rPr>
                <w:sz w:val="22"/>
                <w:szCs w:val="22"/>
              </w:rPr>
              <w:t xml:space="preserve"> through embedded opportunities to explore and gain an understanding of the world around them</w:t>
            </w:r>
            <w:r>
              <w:rPr>
                <w:sz w:val="22"/>
                <w:szCs w:val="22"/>
              </w:rPr>
              <w:t xml:space="preserve">.  </w:t>
            </w:r>
            <w:r w:rsidRPr="00DE548C">
              <w:rPr>
                <w:sz w:val="22"/>
                <w:szCs w:val="22"/>
                <w:u w:val="single"/>
              </w:rPr>
              <w:t>Undergraduate admission to West Virginia four-year colleges and universities include the completion of two units of the same world language.</w:t>
            </w:r>
          </w:p>
        </w:tc>
      </w:tr>
      <w:tr w:rsidR="00DE548C" w:rsidRPr="00897F32" w:rsidTr="00141495">
        <w:tblPrEx>
          <w:tblCellMar>
            <w:top w:w="0" w:type="dxa"/>
            <w:bottom w:w="0" w:type="dxa"/>
          </w:tblCellMar>
        </w:tblPrEx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>Electives</w:t>
            </w:r>
          </w:p>
        </w:tc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97F32">
              <w:rPr>
                <w:b/>
                <w:color w:val="000000"/>
                <w:sz w:val="22"/>
                <w:szCs w:val="22"/>
              </w:rPr>
              <w:t xml:space="preserve">2 Credits </w:t>
            </w:r>
          </w:p>
          <w:p w:rsidR="00DE548C" w:rsidRPr="00897F32" w:rsidRDefault="00DE548C" w:rsidP="00141495">
            <w:pPr>
              <w:widowControl w:val="0"/>
              <w:tabs>
                <w:tab w:val="left" w:pos="270"/>
                <w:tab w:val="left" w:pos="540"/>
                <w:tab w:val="left" w:pos="720"/>
                <w:tab w:val="left" w:pos="990"/>
              </w:tabs>
              <w:jc w:val="both"/>
              <w:rPr>
                <w:sz w:val="22"/>
                <w:szCs w:val="22"/>
              </w:rPr>
            </w:pPr>
            <w:r w:rsidRPr="00897F32">
              <w:rPr>
                <w:color w:val="000000"/>
                <w:sz w:val="22"/>
                <w:szCs w:val="22"/>
              </w:rPr>
              <w:t>The remaining graduation requirements are to be electives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897F32">
              <w:rPr>
                <w:color w:val="000000"/>
                <w:sz w:val="22"/>
                <w:szCs w:val="22"/>
              </w:rPr>
              <w:t>When choosing electives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F32">
              <w:rPr>
                <w:color w:val="000000"/>
                <w:sz w:val="22"/>
                <w:szCs w:val="22"/>
              </w:rPr>
              <w:t xml:space="preserve"> students should consult with their chosen </w:t>
            </w:r>
            <w:r>
              <w:rPr>
                <w:color w:val="000000"/>
                <w:sz w:val="22"/>
                <w:szCs w:val="22"/>
              </w:rPr>
              <w:t>postsecondary</w:t>
            </w:r>
            <w:r w:rsidRPr="00897F32">
              <w:rPr>
                <w:color w:val="000000"/>
                <w:sz w:val="22"/>
                <w:szCs w:val="22"/>
              </w:rPr>
              <w:t xml:space="preserve"> educational program to make sure the electives are acceptable.</w:t>
            </w:r>
          </w:p>
        </w:tc>
      </w:tr>
    </w:tbl>
    <w:p w:rsidR="005C1ED6" w:rsidRDefault="005C1ED6"/>
    <w:sectPr w:rsidR="005C1ED6" w:rsidSect="005C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48C"/>
    <w:rsid w:val="0048779E"/>
    <w:rsid w:val="005C1ED6"/>
    <w:rsid w:val="00DE548C"/>
    <w:rsid w:val="00EA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8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>JMHS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RESA</cp:lastModifiedBy>
  <cp:revision>1</cp:revision>
  <dcterms:created xsi:type="dcterms:W3CDTF">2014-08-27T11:45:00Z</dcterms:created>
  <dcterms:modified xsi:type="dcterms:W3CDTF">2014-08-27T11:47:00Z</dcterms:modified>
</cp:coreProperties>
</file>